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D5" w:rsidRDefault="00937D21" w:rsidP="0062687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-143510</wp:posOffset>
            </wp:positionV>
            <wp:extent cx="6096000" cy="285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BD5" w:rsidRDefault="00937D21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1F497D"/>
        </w:rPr>
        <w:t>Recensement de carapaces à l’îlot M’tsamboro</w:t>
      </w:r>
    </w:p>
    <w:p w:rsidR="004A4BD5" w:rsidRDefault="004A4BD5" w:rsidP="00626873">
      <w:pPr>
        <w:spacing w:line="276" w:lineRule="auto"/>
        <w:rPr>
          <w:sz w:val="24"/>
          <w:szCs w:val="24"/>
        </w:rPr>
      </w:pPr>
    </w:p>
    <w:p w:rsidR="0043184B" w:rsidRDefault="00626873" w:rsidP="0062687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mercredi 23 novembre 2016</w:t>
      </w:r>
      <w:r w:rsidR="008F5DEF">
        <w:rPr>
          <w:rFonts w:ascii="Calibri" w:eastAsia="Calibri" w:hAnsi="Calibri" w:cs="Calibri"/>
        </w:rPr>
        <w:t xml:space="preserve">, 21 membres du réseau </w:t>
      </w:r>
      <w:r w:rsidR="008B5D14">
        <w:rPr>
          <w:rFonts w:ascii="Calibri" w:eastAsia="Calibri" w:hAnsi="Calibri" w:cs="Calibri"/>
        </w:rPr>
        <w:t>échouage mahorais de mammifères marins et de tortues marines (R</w:t>
      </w:r>
      <w:r w:rsidR="00937D21">
        <w:rPr>
          <w:rFonts w:ascii="Calibri" w:eastAsia="Calibri" w:hAnsi="Calibri" w:cs="Calibri"/>
        </w:rPr>
        <w:t>EMMAT</w:t>
      </w:r>
      <w:r w:rsidR="008B5D14">
        <w:rPr>
          <w:rFonts w:ascii="Calibri" w:eastAsia="Calibri" w:hAnsi="Calibri" w:cs="Calibri"/>
        </w:rPr>
        <w:t>)</w:t>
      </w:r>
      <w:r w:rsidR="00937D21">
        <w:rPr>
          <w:rFonts w:ascii="Calibri" w:eastAsia="Calibri" w:hAnsi="Calibri" w:cs="Calibri"/>
        </w:rPr>
        <w:t xml:space="preserve"> issus de 6 organismes (Lagon Aventure, la Brigade Nature de Mayotte, le Parc naturel marin de Mayotte, le Conseil Départemental de Mayotte, le Gépomay et l’association Oulanga Na Nyamba) s’étaient donné</w:t>
      </w:r>
      <w:r w:rsidR="00531B46">
        <w:rPr>
          <w:rFonts w:ascii="Calibri" w:eastAsia="Calibri" w:hAnsi="Calibri" w:cs="Calibri"/>
        </w:rPr>
        <w:t>s rendez-</w:t>
      </w:r>
      <w:r w:rsidR="00937D21">
        <w:rPr>
          <w:rFonts w:ascii="Calibri" w:eastAsia="Calibri" w:hAnsi="Calibri" w:cs="Calibri"/>
        </w:rPr>
        <w:t>vous pour se rendre sur l’îlot</w:t>
      </w:r>
      <w:r w:rsidR="008B5D14">
        <w:rPr>
          <w:sz w:val="20"/>
          <w:szCs w:val="20"/>
        </w:rPr>
        <w:t xml:space="preserve"> </w:t>
      </w:r>
      <w:r w:rsidR="00937D21">
        <w:rPr>
          <w:rFonts w:ascii="Calibri" w:eastAsia="Calibri" w:hAnsi="Calibri" w:cs="Calibri"/>
        </w:rPr>
        <w:t>M’tsamboro.</w:t>
      </w:r>
    </w:p>
    <w:p w:rsidR="008A1719" w:rsidRDefault="008A1719" w:rsidP="00626873">
      <w:pPr>
        <w:spacing w:line="276" w:lineRule="auto"/>
        <w:jc w:val="both"/>
        <w:rPr>
          <w:sz w:val="20"/>
          <w:szCs w:val="20"/>
        </w:rPr>
      </w:pPr>
    </w:p>
    <w:tbl>
      <w:tblPr>
        <w:tblStyle w:val="Grille"/>
        <w:tblW w:w="105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5286"/>
      </w:tblGrid>
      <w:tr w:rsidR="0043184B">
        <w:trPr>
          <w:trHeight w:val="2540"/>
          <w:jc w:val="center"/>
        </w:trPr>
        <w:tc>
          <w:tcPr>
            <w:tcW w:w="5256" w:type="dxa"/>
          </w:tcPr>
          <w:p w:rsidR="0043184B" w:rsidRDefault="0043184B" w:rsidP="006268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93200" cy="1796175"/>
                  <wp:effectExtent l="19050" t="0" r="7200" b="0"/>
                  <wp:docPr id="7" name="Image 6" descr="OP_carapaces_Mstamboro_nov2016_K.Ballorain (5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_carapaces_Mstamboro_nov2016_K.Ballorain (50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200" cy="179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43184B" w:rsidRDefault="0043184B" w:rsidP="006268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93200" cy="1797959"/>
                  <wp:effectExtent l="19050" t="0" r="7200" b="0"/>
                  <wp:docPr id="8" name="Image 7" descr="OP_carapaces_Mstamboro_nov2016_K.Ballorain (34)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_carapaces_Mstamboro_nov2016_K.Ballorain (34)b.jpg"/>
                          <pic:cNvPicPr/>
                        </pic:nvPicPr>
                        <pic:blipFill>
                          <a:blip r:embed="rId10" cstate="print"/>
                          <a:srcRect r="2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200" cy="179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84B">
        <w:trPr>
          <w:trHeight w:val="3214"/>
          <w:jc w:val="center"/>
        </w:trPr>
        <w:tc>
          <w:tcPr>
            <w:tcW w:w="5256" w:type="dxa"/>
          </w:tcPr>
          <w:p w:rsidR="0043184B" w:rsidRDefault="0043184B" w:rsidP="006268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93415" cy="1790700"/>
                  <wp:effectExtent l="19050" t="0" r="6985" b="0"/>
                  <wp:docPr id="9" name="Image 8" descr="DSC03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189.JPG"/>
                          <pic:cNvPicPr/>
                        </pic:nvPicPr>
                        <pic:blipFill>
                          <a:blip r:embed="rId11" cstate="print"/>
                          <a:srcRect t="19048" b="6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43184B" w:rsidRDefault="0043184B" w:rsidP="006268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94203" cy="1800000"/>
                  <wp:effectExtent l="19050" t="0" r="6197" b="0"/>
                  <wp:docPr id="10" name="Image 9" descr="OP_carapaces_Mstamboro_nov2016_K.Ballorain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_carapaces_Mstamboro_nov2016_K.Ballorain (7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20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BD5" w:rsidRDefault="004A4BD5" w:rsidP="00626873">
      <w:pPr>
        <w:spacing w:line="276" w:lineRule="auto"/>
        <w:jc w:val="both"/>
        <w:rPr>
          <w:sz w:val="20"/>
          <w:szCs w:val="20"/>
        </w:rPr>
      </w:pPr>
    </w:p>
    <w:p w:rsidR="004A4BD5" w:rsidRDefault="004A4BD5">
      <w:pPr>
        <w:spacing w:line="360" w:lineRule="exact"/>
        <w:rPr>
          <w:sz w:val="24"/>
          <w:szCs w:val="24"/>
        </w:rPr>
      </w:pPr>
    </w:p>
    <w:p w:rsidR="004A4BD5" w:rsidRDefault="00937D21" w:rsidP="00626873">
      <w:pPr>
        <w:spacing w:line="276" w:lineRule="auto"/>
        <w:ind w:right="348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Divisés en plusieurs équipes, ils ont inspecté l’ensemble des plages de l’îlot : ossements et carapaces ont été comptabilisés et rejetés en mer au large. Au total, 26 carapaces de tortues vertes ont été découvertes ainsi que des ossements de 4 autres tortues.</w:t>
      </w:r>
    </w:p>
    <w:p w:rsidR="004A4BD5" w:rsidRDefault="00937D21" w:rsidP="00626873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3968115</wp:posOffset>
            </wp:positionH>
            <wp:positionV relativeFrom="paragraph">
              <wp:posOffset>-846455</wp:posOffset>
            </wp:positionV>
            <wp:extent cx="1766570" cy="2362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BD5" w:rsidRDefault="00937D21" w:rsidP="00626873">
      <w:pPr>
        <w:spacing w:line="276" w:lineRule="auto"/>
        <w:ind w:right="348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Les braconniers semblent vouloir se montrer de plus en plus discrets : plusieurs ossements ont été retrouvés enterrés voire brûlés</w:t>
      </w:r>
      <w:r w:rsidR="008F5DEF">
        <w:rPr>
          <w:rFonts w:ascii="Calibri" w:eastAsia="Calibri" w:hAnsi="Calibri" w:cs="Calibri"/>
        </w:rPr>
        <w:t xml:space="preserve"> (photo ci-contre)</w:t>
      </w:r>
      <w:r>
        <w:rPr>
          <w:rFonts w:ascii="Calibri" w:eastAsia="Calibri" w:hAnsi="Calibri" w:cs="Calibri"/>
        </w:rPr>
        <w:t>. De plus, parmi ces 30 tortues, la moitié correspond à des jeunes individus braconnés en mer.</w:t>
      </w:r>
    </w:p>
    <w:p w:rsidR="004A4BD5" w:rsidRDefault="004A4BD5">
      <w:pPr>
        <w:spacing w:line="270" w:lineRule="exact"/>
        <w:rPr>
          <w:sz w:val="24"/>
          <w:szCs w:val="24"/>
        </w:rPr>
      </w:pPr>
    </w:p>
    <w:p w:rsidR="004A4BD5" w:rsidRDefault="00937D21" w:rsidP="00626873">
      <w:pPr>
        <w:spacing w:line="276" w:lineRule="auto"/>
        <w:ind w:right="348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Ce type d’action de ramassage a pour but d’</w:t>
      </w:r>
      <w:r>
        <w:rPr>
          <w:rFonts w:ascii="Calibri" w:eastAsia="Calibri" w:hAnsi="Calibri" w:cs="Calibri"/>
        </w:rPr>
        <w:t>obtenir un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état « zéro » et de faciliter le recensement des nouveaux </w:t>
      </w:r>
      <w:r w:rsidR="00626873">
        <w:rPr>
          <w:rFonts w:ascii="Calibri" w:eastAsia="Calibri" w:hAnsi="Calibri" w:cs="Calibri"/>
        </w:rPr>
        <w:t xml:space="preserve">cas de mortalité </w:t>
      </w:r>
      <w:r>
        <w:rPr>
          <w:rFonts w:ascii="Calibri" w:eastAsia="Calibri" w:hAnsi="Calibri" w:cs="Calibri"/>
        </w:rPr>
        <w:t>de tortues marines.</w:t>
      </w:r>
    </w:p>
    <w:p w:rsidR="004A4BD5" w:rsidRDefault="004A4BD5">
      <w:pPr>
        <w:spacing w:line="200" w:lineRule="exact"/>
        <w:rPr>
          <w:sz w:val="24"/>
          <w:szCs w:val="24"/>
        </w:rPr>
      </w:pPr>
    </w:p>
    <w:p w:rsidR="004A4BD5" w:rsidRDefault="004A4BD5">
      <w:pPr>
        <w:spacing w:line="200" w:lineRule="exact"/>
        <w:rPr>
          <w:sz w:val="24"/>
          <w:szCs w:val="24"/>
        </w:rPr>
      </w:pPr>
    </w:p>
    <w:p w:rsidR="004A4BD5" w:rsidRDefault="004A4BD5">
      <w:pPr>
        <w:spacing w:line="200" w:lineRule="exact"/>
        <w:rPr>
          <w:sz w:val="24"/>
          <w:szCs w:val="24"/>
        </w:rPr>
      </w:pPr>
    </w:p>
    <w:p w:rsidR="004A4BD5" w:rsidRDefault="004A4BD5">
      <w:pPr>
        <w:spacing w:line="200" w:lineRule="exact"/>
        <w:rPr>
          <w:sz w:val="24"/>
          <w:szCs w:val="24"/>
        </w:rPr>
      </w:pPr>
    </w:p>
    <w:p w:rsidR="004A4BD5" w:rsidRDefault="004A4BD5">
      <w:pPr>
        <w:sectPr w:rsidR="004A4BD5">
          <w:headerReference w:type="default" r:id="rId14"/>
          <w:footerReference w:type="default" r:id="rId15"/>
          <w:pgSz w:w="11900" w:h="16838"/>
          <w:pgMar w:top="968" w:right="1400" w:bottom="707" w:left="1420" w:header="0" w:footer="0" w:gutter="0"/>
          <w:cols w:equalWidth="0">
            <w:col w:w="9080"/>
          </w:cols>
        </w:sectPr>
      </w:pPr>
    </w:p>
    <w:p w:rsidR="004A4BD5" w:rsidRDefault="00937D21">
      <w:pPr>
        <w:spacing w:line="239" w:lineRule="auto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i/>
          <w:iCs/>
          <w:color w:val="1F497D"/>
        </w:rPr>
        <w:t>Environ 80% des cas recensés par le REMMAT correspondent à du braconnage en 2016.</w:t>
      </w:r>
    </w:p>
    <w:p w:rsidR="004A4BD5" w:rsidRDefault="004A4BD5">
      <w:pPr>
        <w:spacing w:line="241" w:lineRule="exact"/>
        <w:rPr>
          <w:sz w:val="20"/>
          <w:szCs w:val="20"/>
        </w:rPr>
      </w:pPr>
    </w:p>
    <w:p w:rsidR="004A4BD5" w:rsidRDefault="00937D21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Ce nouveau recensement complète les chiffres du REMMAT pour l’année 2016:</w:t>
      </w:r>
    </w:p>
    <w:p w:rsidR="004A4BD5" w:rsidRDefault="004A4BD5">
      <w:pPr>
        <w:spacing w:line="239" w:lineRule="exact"/>
        <w:rPr>
          <w:sz w:val="20"/>
          <w:szCs w:val="20"/>
        </w:rPr>
      </w:pPr>
    </w:p>
    <w:p w:rsidR="004A4BD5" w:rsidRDefault="00937D21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près de 2</w:t>
      </w:r>
      <w:r w:rsidR="005A7C3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 tortues mortes ou en détresse ont été recensé</w:t>
      </w:r>
      <w:r w:rsidR="00626873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 jusqu’à présent en 2016 ;</w:t>
      </w:r>
    </w:p>
    <w:p w:rsidR="004A4BD5" w:rsidRDefault="004A4BD5">
      <w:pPr>
        <w:spacing w:line="91" w:lineRule="exact"/>
        <w:rPr>
          <w:rFonts w:ascii="Calibri" w:eastAsia="Calibri" w:hAnsi="Calibri" w:cs="Calibri"/>
        </w:rPr>
      </w:pPr>
    </w:p>
    <w:p w:rsidR="004A4BD5" w:rsidRDefault="00937D21">
      <w:pPr>
        <w:numPr>
          <w:ilvl w:val="0"/>
          <w:numId w:val="1"/>
        </w:numPr>
        <w:tabs>
          <w:tab w:val="left" w:pos="720"/>
        </w:tabs>
        <w:spacing w:line="236" w:lineRule="auto"/>
        <w:ind w:left="7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tortues braconnées sont majoritairement des tortues vertes adultes femelles tuées lorsqu’elles montent pondre sur la plage ;</w:t>
      </w:r>
    </w:p>
    <w:p w:rsidR="004A4BD5" w:rsidRDefault="004A4BD5">
      <w:pPr>
        <w:spacing w:line="91" w:lineRule="exact"/>
        <w:rPr>
          <w:rFonts w:ascii="Calibri" w:eastAsia="Calibri" w:hAnsi="Calibri" w:cs="Calibri"/>
        </w:rPr>
      </w:pPr>
    </w:p>
    <w:p w:rsidR="004A4BD5" w:rsidRDefault="00687B19">
      <w:pPr>
        <w:numPr>
          <w:ilvl w:val="0"/>
          <w:numId w:val="1"/>
        </w:numPr>
        <w:tabs>
          <w:tab w:val="left" w:pos="720"/>
        </w:tabs>
        <w:spacing w:line="236" w:lineRule="auto"/>
        <w:ind w:left="720" w:right="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plages de Petite Terre</w:t>
      </w:r>
      <w:r w:rsidR="00937D21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de l’îlot M’tsamboro</w:t>
      </w:r>
      <w:r w:rsidR="00937D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et du </w:t>
      </w:r>
      <w:r w:rsidR="000475DF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ord ouest </w:t>
      </w:r>
      <w:r w:rsidR="000475DF">
        <w:rPr>
          <w:rFonts w:ascii="Calibri" w:eastAsia="Calibri" w:hAnsi="Calibri" w:cs="Calibri"/>
        </w:rPr>
        <w:t>ainsi que les plages de la pointe S</w:t>
      </w:r>
      <w:r>
        <w:rPr>
          <w:rFonts w:ascii="Calibri" w:eastAsia="Calibri" w:hAnsi="Calibri" w:cs="Calibri"/>
        </w:rPr>
        <w:t xml:space="preserve">ud-est de l’île </w:t>
      </w:r>
      <w:r w:rsidR="00937D21">
        <w:rPr>
          <w:rFonts w:ascii="Calibri" w:eastAsia="Calibri" w:hAnsi="Calibri" w:cs="Calibri"/>
        </w:rPr>
        <w:t xml:space="preserve">figurent parmi les </w:t>
      </w:r>
      <w:r>
        <w:rPr>
          <w:rFonts w:ascii="Calibri" w:eastAsia="Calibri" w:hAnsi="Calibri" w:cs="Calibri"/>
        </w:rPr>
        <w:t>secteurs</w:t>
      </w:r>
      <w:r w:rsidR="00937D21">
        <w:rPr>
          <w:rFonts w:ascii="Calibri" w:eastAsia="Calibri" w:hAnsi="Calibri" w:cs="Calibri"/>
        </w:rPr>
        <w:t xml:space="preserve"> les plus touchés par le braconnage.</w:t>
      </w:r>
    </w:p>
    <w:p w:rsidR="004A4BD5" w:rsidRDefault="004A4BD5">
      <w:pPr>
        <w:spacing w:line="288" w:lineRule="exact"/>
        <w:rPr>
          <w:sz w:val="20"/>
          <w:szCs w:val="20"/>
        </w:rPr>
      </w:pPr>
    </w:p>
    <w:p w:rsidR="004A4BD5" w:rsidRDefault="00937D21">
      <w:pPr>
        <w:spacing w:line="25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Les résultats du REMMAT sont transmis tout au long de l’année aux </w:t>
      </w:r>
      <w:r w:rsidR="00626873">
        <w:rPr>
          <w:rFonts w:ascii="Calibri" w:eastAsia="Calibri" w:hAnsi="Calibri" w:cs="Calibri"/>
        </w:rPr>
        <w:t xml:space="preserve">acteurs en charge de la protection des tortues marines </w:t>
      </w:r>
      <w:r>
        <w:rPr>
          <w:rFonts w:ascii="Calibri" w:eastAsia="Calibri" w:hAnsi="Calibri" w:cs="Calibri"/>
        </w:rPr>
        <w:t>afin de mieux cibler les missions de</w:t>
      </w:r>
      <w:r w:rsidR="00626873">
        <w:rPr>
          <w:rFonts w:ascii="Calibri" w:eastAsia="Calibri" w:hAnsi="Calibri" w:cs="Calibri"/>
        </w:rPr>
        <w:t xml:space="preserve"> sensibilisation et de surveillance</w:t>
      </w:r>
      <w:r>
        <w:rPr>
          <w:rFonts w:ascii="Calibri" w:eastAsia="Calibri" w:hAnsi="Calibri" w:cs="Calibri"/>
        </w:rPr>
        <w:t>.</w:t>
      </w:r>
    </w:p>
    <w:p w:rsidR="004A4BD5" w:rsidRDefault="004A4BD5">
      <w:pPr>
        <w:spacing w:line="226" w:lineRule="exact"/>
        <w:rPr>
          <w:sz w:val="20"/>
          <w:szCs w:val="20"/>
        </w:rPr>
      </w:pPr>
    </w:p>
    <w:p w:rsidR="004A4BD5" w:rsidRDefault="00937D21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1F497D"/>
        </w:rPr>
        <w:t>Comment contribuer à la sauvegarde des tortues marines et des mammifères marins?</w:t>
      </w:r>
    </w:p>
    <w:p w:rsidR="004A4BD5" w:rsidRDefault="004A4BD5">
      <w:pPr>
        <w:spacing w:line="244" w:lineRule="exact"/>
        <w:rPr>
          <w:sz w:val="20"/>
          <w:szCs w:val="20"/>
        </w:rPr>
      </w:pPr>
    </w:p>
    <w:p w:rsidR="004A4BD5" w:rsidRDefault="00C03E73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Vous pouvez nous aider, s</w:t>
      </w:r>
      <w:r w:rsidR="00937D21">
        <w:rPr>
          <w:rFonts w:ascii="Calibri" w:eastAsia="Calibri" w:hAnsi="Calibri" w:cs="Calibri"/>
        </w:rPr>
        <w:t xml:space="preserve">i vous découvrez un animal mort ou blessé, alertez le réseau échouage au </w:t>
      </w:r>
      <w:r w:rsidR="00937D21" w:rsidRPr="008B5D14">
        <w:rPr>
          <w:rFonts w:ascii="Calibri" w:eastAsia="Calibri" w:hAnsi="Calibri" w:cs="Calibri"/>
        </w:rPr>
        <w:t>06.39.</w:t>
      </w:r>
      <w:r w:rsidR="00937D21">
        <w:rPr>
          <w:rFonts w:ascii="Calibri" w:eastAsia="Calibri" w:hAnsi="Calibri" w:cs="Calibri"/>
        </w:rPr>
        <w:t xml:space="preserve"> </w:t>
      </w:r>
      <w:r w:rsidR="00937D21">
        <w:rPr>
          <w:rFonts w:ascii="Calibri" w:eastAsia="Calibri" w:hAnsi="Calibri" w:cs="Calibri"/>
          <w:b/>
          <w:bCs/>
          <w:sz w:val="28"/>
          <w:szCs w:val="28"/>
          <w:u w:val="single"/>
        </w:rPr>
        <w:t>69. 41. 41.</w:t>
      </w:r>
    </w:p>
    <w:p w:rsidR="004A4BD5" w:rsidRDefault="004A4BD5">
      <w:pPr>
        <w:spacing w:line="296" w:lineRule="exact"/>
        <w:rPr>
          <w:sz w:val="20"/>
          <w:szCs w:val="20"/>
        </w:rPr>
      </w:pPr>
    </w:p>
    <w:p w:rsidR="004A4BD5" w:rsidRDefault="00937D21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Le REMMAT rappelle que les tortues marines et mammifères marins sont protégés par la loi. Les braconniers et les consommateurs de tortues marines risquent jusqu’à 1 an d’emprisonnement et</w:t>
      </w:r>
    </w:p>
    <w:p w:rsidR="004A4BD5" w:rsidRDefault="004A4BD5">
      <w:pPr>
        <w:spacing w:line="91" w:lineRule="exact"/>
        <w:rPr>
          <w:sz w:val="20"/>
          <w:szCs w:val="20"/>
        </w:rPr>
      </w:pPr>
    </w:p>
    <w:p w:rsidR="004A4BD5" w:rsidRDefault="00937D21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15 000 euros d’amende. La chair des tortues peut par ailleurs être toxique et occasionner de graves conséquences sur la santé, voire la mort du consommateur.</w:t>
      </w: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350" w:lineRule="exact"/>
        <w:rPr>
          <w:sz w:val="20"/>
          <w:szCs w:val="20"/>
        </w:rPr>
      </w:pPr>
    </w:p>
    <w:p w:rsidR="004A4BD5" w:rsidRDefault="00937D21">
      <w:pPr>
        <w:ind w:left="19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1F497D"/>
        </w:rPr>
        <w:t>Contact presse : 06.39.11.98.39 – remmat976@gmail.com</w:t>
      </w: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00" w:lineRule="exact"/>
        <w:rPr>
          <w:sz w:val="20"/>
          <w:szCs w:val="20"/>
        </w:rPr>
      </w:pPr>
    </w:p>
    <w:p w:rsidR="004A4BD5" w:rsidRDefault="004A4BD5">
      <w:pPr>
        <w:spacing w:line="262" w:lineRule="exact"/>
        <w:rPr>
          <w:sz w:val="20"/>
          <w:szCs w:val="20"/>
        </w:rPr>
      </w:pPr>
    </w:p>
    <w:p w:rsidR="004A4BD5" w:rsidRDefault="004A4BD5">
      <w:pPr>
        <w:rPr>
          <w:sz w:val="20"/>
          <w:szCs w:val="20"/>
        </w:rPr>
      </w:pPr>
    </w:p>
    <w:sectPr w:rsidR="004A4BD5" w:rsidSect="004A4BD5">
      <w:pgSz w:w="11900" w:h="16838"/>
      <w:pgMar w:top="968" w:right="1400" w:bottom="707" w:left="1420" w:header="0" w:footer="0" w:gutter="0"/>
      <w:cols w:equalWidth="0">
        <w:col w:w="9080"/>
      </w:cols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4B" w:rsidRDefault="0043184B" w:rsidP="00626873">
      <w:r>
        <w:separator/>
      </w:r>
    </w:p>
  </w:endnote>
  <w:endnote w:type="continuationSeparator" w:id="0">
    <w:p w:rsidR="0043184B" w:rsidRDefault="0043184B" w:rsidP="0062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4B" w:rsidRPr="00626873" w:rsidRDefault="0043184B" w:rsidP="00626873">
    <w:pPr>
      <w:jc w:val="center"/>
      <w:rPr>
        <w:sz w:val="18"/>
        <w:szCs w:val="18"/>
      </w:rPr>
    </w:pPr>
    <w:r w:rsidRPr="00626873">
      <w:rPr>
        <w:rFonts w:ascii="Calibri" w:eastAsia="Calibri" w:hAnsi="Calibri" w:cs="Calibri"/>
        <w:sz w:val="18"/>
        <w:szCs w:val="18"/>
      </w:rPr>
      <w:t>Crédit photo : K.Ballorain ; M.Dedeken ; M.Madi / Agence des aires marines protégées</w:t>
    </w:r>
  </w:p>
  <w:p w:rsidR="0043184B" w:rsidRDefault="0043184B">
    <w:pPr>
      <w:pStyle w:val="Pieddepage"/>
    </w:pPr>
  </w:p>
  <w:p w:rsidR="0043184B" w:rsidRDefault="0043184B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4B" w:rsidRDefault="0043184B" w:rsidP="00626873">
      <w:r>
        <w:separator/>
      </w:r>
    </w:p>
  </w:footnote>
  <w:footnote w:type="continuationSeparator" w:id="0">
    <w:p w:rsidR="0043184B" w:rsidRDefault="0043184B" w:rsidP="0062687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4B" w:rsidRDefault="0043184B" w:rsidP="00626873">
    <w:pPr>
      <w:spacing w:line="239" w:lineRule="auto"/>
      <w:ind w:left="200"/>
      <w:rPr>
        <w:rFonts w:ascii="Calibri" w:eastAsia="Calibri" w:hAnsi="Calibri" w:cs="Calibri"/>
      </w:rPr>
    </w:pPr>
    <w:bookmarkStart w:id="0" w:name="page1"/>
    <w:bookmarkEnd w:id="0"/>
  </w:p>
  <w:p w:rsidR="0043184B" w:rsidRDefault="0043184B" w:rsidP="00626873">
    <w:pPr>
      <w:spacing w:line="239" w:lineRule="auto"/>
      <w:ind w:left="200"/>
      <w:rPr>
        <w:rFonts w:ascii="Calibri" w:eastAsia="Calibri" w:hAnsi="Calibri" w:cs="Calibri"/>
      </w:rPr>
    </w:pPr>
  </w:p>
  <w:p w:rsidR="0043184B" w:rsidRDefault="0043184B" w:rsidP="00626873">
    <w:pPr>
      <w:spacing w:line="239" w:lineRule="auto"/>
      <w:ind w:left="200"/>
      <w:rPr>
        <w:rFonts w:ascii="Calibri" w:eastAsia="Calibri" w:hAnsi="Calibri" w:cs="Calibri"/>
      </w:rPr>
    </w:pPr>
  </w:p>
  <w:p w:rsidR="0043184B" w:rsidRDefault="0043184B" w:rsidP="00626873">
    <w:pPr>
      <w:spacing w:line="239" w:lineRule="auto"/>
      <w:ind w:left="200"/>
      <w:rPr>
        <w:sz w:val="20"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209550</wp:posOffset>
          </wp:positionH>
          <wp:positionV relativeFrom="page">
            <wp:posOffset>85725</wp:posOffset>
          </wp:positionV>
          <wp:extent cx="695325" cy="69532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>Communiqué de presse REMMAT – 5 décembre 2016</w:t>
    </w:r>
  </w:p>
  <w:p w:rsidR="0043184B" w:rsidRDefault="0043184B">
    <w:pPr>
      <w:pStyle w:val="En-tte"/>
    </w:pPr>
  </w:p>
  <w:p w:rsidR="0043184B" w:rsidRDefault="0043184B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CD1C61F6"/>
    <w:lvl w:ilvl="0" w:tplc="B95A3716">
      <w:start w:val="1"/>
      <w:numFmt w:val="bullet"/>
      <w:lvlText w:val="-"/>
      <w:lvlJc w:val="left"/>
    </w:lvl>
    <w:lvl w:ilvl="1" w:tplc="BDB097E4">
      <w:numFmt w:val="decimal"/>
      <w:lvlText w:val=""/>
      <w:lvlJc w:val="left"/>
    </w:lvl>
    <w:lvl w:ilvl="2" w:tplc="A252C856">
      <w:numFmt w:val="decimal"/>
      <w:lvlText w:val=""/>
      <w:lvlJc w:val="left"/>
    </w:lvl>
    <w:lvl w:ilvl="3" w:tplc="1FFC7358">
      <w:numFmt w:val="decimal"/>
      <w:lvlText w:val=""/>
      <w:lvlJc w:val="left"/>
    </w:lvl>
    <w:lvl w:ilvl="4" w:tplc="9A66B13A">
      <w:numFmt w:val="decimal"/>
      <w:lvlText w:val=""/>
      <w:lvlJc w:val="left"/>
    </w:lvl>
    <w:lvl w:ilvl="5" w:tplc="8806CE3A">
      <w:numFmt w:val="decimal"/>
      <w:lvlText w:val=""/>
      <w:lvlJc w:val="left"/>
    </w:lvl>
    <w:lvl w:ilvl="6" w:tplc="10EA684C">
      <w:numFmt w:val="decimal"/>
      <w:lvlText w:val=""/>
      <w:lvlJc w:val="left"/>
    </w:lvl>
    <w:lvl w:ilvl="7" w:tplc="A25AEBF2">
      <w:numFmt w:val="decimal"/>
      <w:lvlText w:val=""/>
      <w:lvlJc w:val="left"/>
    </w:lvl>
    <w:lvl w:ilvl="8" w:tplc="3F981C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BD5"/>
    <w:rsid w:val="000475DF"/>
    <w:rsid w:val="00351207"/>
    <w:rsid w:val="00383D39"/>
    <w:rsid w:val="00407F08"/>
    <w:rsid w:val="0043184B"/>
    <w:rsid w:val="0047537C"/>
    <w:rsid w:val="004805EB"/>
    <w:rsid w:val="004A4BD5"/>
    <w:rsid w:val="00531B46"/>
    <w:rsid w:val="005A7C37"/>
    <w:rsid w:val="00626873"/>
    <w:rsid w:val="00687B19"/>
    <w:rsid w:val="008A1719"/>
    <w:rsid w:val="008B5D14"/>
    <w:rsid w:val="008F5DEF"/>
    <w:rsid w:val="00937D21"/>
    <w:rsid w:val="009B53F1"/>
    <w:rsid w:val="00AB17A6"/>
    <w:rsid w:val="00B95973"/>
    <w:rsid w:val="00C03E73"/>
    <w:rsid w:val="00F65246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D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6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6873"/>
  </w:style>
  <w:style w:type="paragraph" w:styleId="Pieddepage">
    <w:name w:val="footer"/>
    <w:basedOn w:val="Normal"/>
    <w:link w:val="PieddepageCar"/>
    <w:uiPriority w:val="99"/>
    <w:unhideWhenUsed/>
    <w:rsid w:val="00626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6873"/>
  </w:style>
  <w:style w:type="paragraph" w:styleId="Textedebulles">
    <w:name w:val="Balloon Text"/>
    <w:basedOn w:val="Normal"/>
    <w:link w:val="TextedebullesCar"/>
    <w:uiPriority w:val="99"/>
    <w:semiHidden/>
    <w:unhideWhenUsed/>
    <w:rsid w:val="006268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87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4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790F-E8E5-954A-ADC3-C6E5D0A2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françoise Claro</cp:lastModifiedBy>
  <cp:revision>2</cp:revision>
  <cp:lastPrinted>2016-12-02T11:30:00Z</cp:lastPrinted>
  <dcterms:created xsi:type="dcterms:W3CDTF">2016-12-05T07:32:00Z</dcterms:created>
  <dcterms:modified xsi:type="dcterms:W3CDTF">2016-12-05T07:32:00Z</dcterms:modified>
</cp:coreProperties>
</file>